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5" w:rsidRPr="005F1035" w:rsidRDefault="005F1035" w:rsidP="005F1035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</w:pPr>
      <w:r w:rsidRPr="005F1035"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  <w:t>Ответственность за вовлечение несовершеннолетнего в совершение противоправных деяний</w:t>
      </w:r>
      <w:r w:rsidR="00B65B34"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  <w:t>.</w:t>
      </w:r>
      <w:bookmarkStart w:id="0" w:name="_GoBack"/>
      <w:bookmarkEnd w:id="0"/>
    </w:p>
    <w:p w:rsid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Влияние в</w:t>
      </w: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попрошайничеством) ведет к деформации личности подростка, изменению его психики.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Уголовная ответственность за вовлечение несовершеннолетнего в совершение преступления предусмотрена статьей 150 УК РФ.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воздействием обещаний, обмана, угроз или иным способом.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Субъектом данного преступления может быть лицо, достигшее 18 лет.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Следует отметить, что совершение преступления в несовершеннолетнем возрасте накладывает негативный отпечаток на всю даль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нейшую судьбу несовершеннолетнего,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 учетом изложенного, ответственность взрослого по ч.1 ст.150 УК РФ предусматривает наказание на срок до 5 лет лишения свободы за вовлечение несовершеннолетнего в совершение преступления путем обещаний, обмана, угроз или иным способом.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ч.3 ст.150 УК РФпредусматривает, что за преступления ч.1, ч.2 настоящей статьи, совершенные с применением насилия или с угрозой его применения, наказываются лишением свободы на срок от 2 до 7 лет с ограничением свободы на срок до двух лет либо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ч.4 ст.150 УК РФ установлено, что деяния, предусмотренные частями 1, 2, или 3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лишением свободы на срок от 5 до 8 лет с ограничением свободы на срок до 2 лет либо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</w:t>
      </w: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Перечень видов антиобщественного поведения (действий), вовлечение в которое влечет уголовную ответственность взрослого, является исчерпывающим. За вовлечение несовершеннолетнего в совершение антиобщественных действий предусмотрена уголовная ответственность в ст.151 УК РФ.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Часть 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480 часов, либо исправительными работами на срок от одного года до 2 лет, либо арестом на срок от 3 до 6 месяцев, либо лишением свободы на срок до 4-х лет.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ч.2 ст.151 УК РФ установлено, что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ограничением свободы на срок от 2-х до 4-х лет, либо арестом на срок от 4-х до 6-ти месяцев, либо лишением свободы на срок до 5 лет с лишением права занимать определенные должности или заниматься определенной деятельностью на срок до 3х лет или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Согласно ч.3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6-ти лет с ограничением свободы на срок до 2-х лет либо без такового. Примечание. Действие ст.151 УК РФ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Некоторые виды вовлечения в антиобщественные действия предусмотрены другими статьями УК РФ, например вовлечение в потребление наркотических средств или психотропных веществ (п. "а" ч. 3 ст. 230 УК РФ), вовлечение в занятие проституциейили принуждениек продолжению занятия проституцией (ч.3 ст.240 УК РФ) и др . Поэтому само по себе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Административным законодательством также предусмотрена ответственность за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(ст. 6.10 КоАП РФ).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Статьей 6.23 КоАП РФ предусмотрена ответственность взрослых лиц за вовлечение несовершеннолетнего в процесс потребления табака.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Рассмотрение дел об административных правонарушениях, предусмотренных ст. 6.10, ст.6.23КоАП РФ отнесено к ведению районных (городских), районных в городах комиссий по делам несовершеннолетних и защите их прав.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Необходимо отметить, что вовлечение несовершеннолетнего в совершение административного правонарушения административным законодательством признается обстоятельством, отягчающим административную ответственность (ст.4.3 КоАП РФ).</w:t>
      </w:r>
    </w:p>
    <w:p w:rsidR="00840032" w:rsidRDefault="00840032"/>
    <w:sectPr w:rsidR="008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9"/>
    <w:rsid w:val="005F1035"/>
    <w:rsid w:val="00840032"/>
    <w:rsid w:val="00983329"/>
    <w:rsid w:val="00B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2020-08-24T07:00:00Z</dcterms:created>
  <dcterms:modified xsi:type="dcterms:W3CDTF">2020-08-24T07:04:00Z</dcterms:modified>
</cp:coreProperties>
</file>